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B9" w:rsidRPr="002D5BA6" w:rsidRDefault="002504B9" w:rsidP="00501A6A">
      <w:pPr>
        <w:autoSpaceDE w:val="0"/>
        <w:autoSpaceDN w:val="0"/>
        <w:adjustRightInd w:val="0"/>
        <w:ind w:left="6372"/>
        <w:rPr>
          <w:rFonts w:ascii="Open Sans" w:hAnsi="Open Sans" w:cs="Open Sans"/>
          <w:bCs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ind w:left="637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>Załącznik nr 1 do SIWZ</w:t>
      </w:r>
    </w:p>
    <w:p w:rsidR="003975AF" w:rsidRPr="002D5BA6" w:rsidRDefault="003975AF" w:rsidP="00501A6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435E2E" w:rsidP="00501A6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>SZCZEGÓ</w:t>
      </w:r>
      <w:r w:rsidR="004C261D" w:rsidRPr="002D5BA6">
        <w:rPr>
          <w:rFonts w:ascii="Open Sans" w:hAnsi="Open Sans" w:cs="Open Sans"/>
          <w:b/>
          <w:bCs/>
          <w:color w:val="auto"/>
          <w:sz w:val="20"/>
          <w:szCs w:val="20"/>
        </w:rPr>
        <w:t>ŁOWY OPIS PRZEDMIOTU ZAMÓ</w:t>
      </w:r>
      <w:r w:rsidR="003975AF" w:rsidRPr="002D5BA6">
        <w:rPr>
          <w:rFonts w:ascii="Open Sans" w:hAnsi="Open Sans" w:cs="Open Sans"/>
          <w:b/>
          <w:bCs/>
          <w:color w:val="auto"/>
          <w:sz w:val="20"/>
          <w:szCs w:val="20"/>
        </w:rPr>
        <w:t>WIENIA</w:t>
      </w:r>
    </w:p>
    <w:p w:rsidR="003975AF" w:rsidRPr="002D5BA6" w:rsidRDefault="003975AF" w:rsidP="00501A6A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3975AF" w:rsidP="00501A6A">
      <w:pPr>
        <w:numPr>
          <w:ilvl w:val="0"/>
          <w:numId w:val="5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 xml:space="preserve">Wymagania dotyczące sposobu realizacji </w:t>
      </w:r>
      <w:r w:rsidR="00E20D32" w:rsidRPr="002D5BA6">
        <w:rPr>
          <w:rFonts w:ascii="Open Sans" w:hAnsi="Open Sans" w:cs="Open Sans"/>
          <w:b/>
          <w:bCs/>
          <w:color w:val="auto"/>
          <w:sz w:val="20"/>
          <w:szCs w:val="20"/>
        </w:rPr>
        <w:t>zamówienia</w:t>
      </w:r>
    </w:p>
    <w:p w:rsidR="003975AF" w:rsidRPr="002D5BA6" w:rsidRDefault="003975AF" w:rsidP="00501A6A">
      <w:p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3975AF" w:rsidRPr="002D5BA6" w:rsidRDefault="003975AF" w:rsidP="007638F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Przedmiotem zamówienia jest świadczenie usług pocztowych w obrocie krajowym i zagranicznym, w zakresie przyjmowania, przemieszczania, doręczania przesyłek pocztowych – w tym usługi kurierskiej - i ich zwrotów, zgodnie z przepisami ustawy Prawo pocztowe z dnia 23 listopada 2012 r.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(Dz.U. z 2012 r., poz. 1529) oraz świadczenie usługi odbioru przesyłek z siedziby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Pr="002D5BA6" w:rsidRDefault="003975AF" w:rsidP="00501A6A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2. Usługi będące przedmiotem zamówienia będą świadczone zgodnie z przepisami powszechnie obowiązującego prawa, w szczególności ustawy z dnia 23 listopada 2012 Prawo Pocztowe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(tekst jednolity Dz. U. Z 2017 r., poz. 1481 ze zm.) </w:t>
      </w:r>
      <w:r w:rsidRPr="002D5BA6">
        <w:rPr>
          <w:rFonts w:ascii="Open Sans" w:hAnsi="Open Sans" w:cs="Open Sans"/>
          <w:color w:val="auto"/>
          <w:sz w:val="20"/>
          <w:szCs w:val="20"/>
        </w:rPr>
        <w:t>oraz aktów wykonawczych wydanych na jej podstawie.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 Poprzez przesyłki pocztowe, będące przedmiotem zamówienia rozumie się: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3.1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przesyłki listowe o wadze do </w:t>
      </w:r>
      <w:smartTag w:uri="urn:schemas-microsoft-com:office:smarttags" w:element="metricconverter">
        <w:smartTagPr>
          <w:attr w:name="ProductID" w:val="2 000 g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2 000 g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 (Gabaryt A i B):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a) zwykłe - przesyłka nierejestrowana niebędąca przesyłką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zwykłe priorytetowe - przesyłka nierejestrowana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c) polecone - przesyłka rejestrowana, przemieszczana i doręcz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ana w sposób zabezpieczający ją </w:t>
      </w:r>
      <w:r w:rsidRPr="002D5BA6">
        <w:rPr>
          <w:rFonts w:ascii="Open Sans" w:hAnsi="Open Sans" w:cs="Open Sans"/>
          <w:color w:val="auto"/>
          <w:sz w:val="20"/>
          <w:szCs w:val="20"/>
        </w:rPr>
        <w:t>przed utratą, ubytkiem zawartości lub uszkodzeniem,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d) polecone priorytetowe - przesyłka rejestrowana najszybszej kategorii, przemieszczana i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doręczana w sposób zabezpieczający j ą przed utratą, ubytkiem zawartości lub uszkodzeniem,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e) polecone ze zwrotnym poświadczeniem odbioru (ZPO) - prze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syłka rejestrowana, przyjęta za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potwierdzeniem nadania i doręczona za pokwitowaniem odbioru,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f) polecone priorytetowe ze zwrotnym poświadczeniem odbioru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 (ZPO) - przesyłka rejestrowana </w:t>
      </w:r>
      <w:r w:rsidRPr="002D5BA6">
        <w:rPr>
          <w:rFonts w:ascii="Open Sans" w:hAnsi="Open Sans" w:cs="Open Sans"/>
          <w:color w:val="auto"/>
          <w:sz w:val="20"/>
          <w:szCs w:val="20"/>
        </w:rPr>
        <w:t>najszybszej kategorii, przyjęta za potwierdzeniem nadan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ia i doręczona za pokwitowaniem </w:t>
      </w:r>
      <w:r w:rsidRPr="002D5BA6">
        <w:rPr>
          <w:rFonts w:ascii="Open Sans" w:hAnsi="Open Sans" w:cs="Open Sans"/>
          <w:color w:val="auto"/>
          <w:sz w:val="20"/>
          <w:szCs w:val="20"/>
        </w:rPr>
        <w:t>odbioru,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A- to przesyłka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Minimum - wymiary strony adresowej nie mogą być mniejsze niż 90 xl40 mm,</w:t>
      </w:r>
    </w:p>
    <w:p w:rsidR="0051188E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Maksimum - żaden z wymiarów nie może przekroczyć wysokości </w:t>
      </w:r>
      <w:smartTag w:uri="urn:schemas-microsoft-com:office:smarttags" w:element="metricconverter">
        <w:smartTagPr>
          <w:attr w:name="ProductID" w:val="2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20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 szerokości 230 mm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 xml:space="preserve">, </w:t>
      </w:r>
    </w:p>
    <w:p w:rsidR="003975AF" w:rsidRPr="002D5BA6" w:rsidRDefault="0051188E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długości 325 mm,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B - to przesyłka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Minimum - jeśli choć jeden z wymiarów przekracza wysokość </w:t>
      </w:r>
      <w:smartTag w:uri="urn:schemas-microsoft-com:office:smarttags" w:element="metricconverter">
        <w:smartTagPr>
          <w:attr w:name="ProductID" w:val="2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20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 lub długość </w:t>
      </w:r>
      <w:smartTag w:uri="urn:schemas-microsoft-com:office:smarttags" w:element="metricconverter">
        <w:smartTagPr>
          <w:attr w:name="ProductID" w:val="325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325 mm</w:t>
        </w:r>
      </w:smartTag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lub szerokość </w:t>
      </w:r>
      <w:smartTag w:uri="urn:schemas-microsoft-com:office:smarttags" w:element="metricconverter">
        <w:smartTagPr>
          <w:attr w:name="ProductID" w:val="23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230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Maksimum - suma długości, szerokości i wysokości nie może być większa niż </w:t>
      </w:r>
      <w:smartTag w:uri="urn:schemas-microsoft-com:office:smarttags" w:element="metricconverter">
        <w:smartTagPr>
          <w:attr w:name="ProductID" w:val="9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900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 przy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czym największy z tych wymiarów (długość) nie może przekroczyć </w:t>
      </w:r>
      <w:smartTag w:uri="urn:schemas-microsoft-com:office:smarttags" w:element="metricconverter">
        <w:smartTagPr>
          <w:attr w:name="ProductID" w:val="6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600 mm</w:t>
        </w:r>
      </w:smartTag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3.2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paczki pocztowe o wadze do </w:t>
      </w:r>
      <w:smartTag w:uri="urn:schemas-microsoft-com:office:smarttags" w:element="metricconverter">
        <w:smartTagPr>
          <w:attr w:name="ProductID" w:val="20 000 g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20 000 g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 (Gabaryt A i B):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a) zwykłe - paczki rejestrowane niebędące paczkami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priorytetowe - paczki rejestrowane najszybszej kategorii,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c) ze zwrotnym poświadczeniem odbioru - paczki rejestrowane zwykłe i priorytetowe przyjęte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za potwierdzeniem nadania i doręczone za pokwitowaniem odbioru.</w:t>
      </w:r>
    </w:p>
    <w:p w:rsidR="002504B9" w:rsidRPr="002D5BA6" w:rsidRDefault="002504B9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A - to paczka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Minimum 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140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Maksimum -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600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 mm</w:t>
        </w:r>
      </w:smartTag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  <w:u w:val="single"/>
        </w:rPr>
        <w:t>Gabaryt B - to paczka o wymiarach</w:t>
      </w:r>
      <w:r w:rsidRPr="002D5BA6">
        <w:rPr>
          <w:rFonts w:ascii="Open Sans" w:hAnsi="Open Sans" w:cs="Open Sans"/>
          <w:color w:val="auto"/>
          <w:sz w:val="20"/>
          <w:szCs w:val="20"/>
        </w:rPr>
        <w:t>: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600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,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Maksimum - suma długości i największego obwodu mierzonego w innym kierunku niż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długość - </w:t>
      </w:r>
      <w:smartTag w:uri="urn:schemas-microsoft-com:office:smarttags" w:element="metricconverter">
        <w:smartTagPr>
          <w:attr w:name="ProductID" w:val="30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3000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2D5BA6">
          <w:rPr>
            <w:rFonts w:ascii="Open Sans" w:hAnsi="Open Sans" w:cs="Open Sans"/>
            <w:color w:val="auto"/>
            <w:sz w:val="20"/>
            <w:szCs w:val="20"/>
          </w:rPr>
          <w:t>1500 mm</w:t>
        </w:r>
      </w:smartTag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4. Wykonawca zobowiązany jest do odbioru 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przesyłek </w:t>
      </w:r>
      <w:r w:rsidRPr="002D5BA6">
        <w:rPr>
          <w:rFonts w:ascii="Open Sans" w:hAnsi="Open Sans" w:cs="Open Sans"/>
          <w:color w:val="auto"/>
          <w:sz w:val="20"/>
          <w:szCs w:val="20"/>
        </w:rPr>
        <w:t>z Zespołu Biura Podawczego Sądu Najwyższego,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zlokalizowanego w siedzibie 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 xml:space="preserve">Zamawiającego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przy p</w:t>
      </w:r>
      <w:r w:rsidRPr="002D5BA6">
        <w:rPr>
          <w:rFonts w:ascii="Open Sans" w:hAnsi="Open Sans" w:cs="Open Sans"/>
          <w:color w:val="auto"/>
          <w:sz w:val="20"/>
          <w:szCs w:val="20"/>
        </w:rPr>
        <w:t>lacu Krasińskich 2/4/6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przesyłek przygotowanych do wyekspediowania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a następnie nadania tych przesyłek w wyznaczonej placówce nadawczej.</w:t>
      </w:r>
    </w:p>
    <w:p w:rsidR="00B53DF0" w:rsidRPr="002D5BA6" w:rsidRDefault="00B53DF0" w:rsidP="00B53DF0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Zarówno dostarczanie przesyłek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>,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 jak i ich odbiór </w:t>
      </w:r>
      <w:r w:rsidR="00053B2C" w:rsidRPr="002D5BA6">
        <w:rPr>
          <w:rFonts w:ascii="Open Sans" w:hAnsi="Open Sans" w:cs="Open Sans"/>
          <w:color w:val="auto"/>
          <w:sz w:val="20"/>
          <w:szCs w:val="20"/>
        </w:rPr>
        <w:t xml:space="preserve">będzie się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odbywać codziennie w dni robocze, 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w godzinach 09.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0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0-1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2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.00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. </w:t>
      </w:r>
    </w:p>
    <w:p w:rsidR="00B53DF0" w:rsidRPr="002D5BA6" w:rsidRDefault="00B53DF0" w:rsidP="00B53DF0">
      <w:pPr>
        <w:tabs>
          <w:tab w:val="left" w:pos="0"/>
        </w:tabs>
        <w:ind w:right="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Jednocześnie Wykonawca zobowiązany jest do odbioru w imieniu Zamawiającego przesyłek w Urzędzie Pocztowym Warszawa 41, Al. Solidarności 119/125, 00-890 Warszawa trzy razy w tygodniu – w poniedziałek, środę i piątek w 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 xml:space="preserve">czasie umożliwiającym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dostarczanie ich do siedziby Zamawiającego 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w godzinach 09.0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>0-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1</w:t>
      </w:r>
      <w:r w:rsidR="0051188E" w:rsidRPr="002D5BA6">
        <w:rPr>
          <w:rFonts w:ascii="Open Sans" w:hAnsi="Open Sans" w:cs="Open Sans"/>
          <w:color w:val="auto"/>
          <w:sz w:val="20"/>
          <w:szCs w:val="20"/>
        </w:rPr>
        <w:t>2</w:t>
      </w:r>
      <w:r w:rsidR="00CD6BE5" w:rsidRPr="002D5BA6">
        <w:rPr>
          <w:rFonts w:ascii="Open Sans" w:hAnsi="Open Sans" w:cs="Open Sans"/>
          <w:color w:val="auto"/>
          <w:sz w:val="20"/>
          <w:szCs w:val="20"/>
        </w:rPr>
        <w:t>.00</w:t>
      </w:r>
      <w:r w:rsidR="00464979"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4521A3" w:rsidRPr="002D5BA6" w:rsidRDefault="00A2308D" w:rsidP="00501A6A">
      <w:pPr>
        <w:autoSpaceDE w:val="0"/>
        <w:autoSpaceDN w:val="0"/>
        <w:adjustRightInd w:val="0"/>
        <w:jc w:val="both"/>
        <w:rPr>
          <w:rStyle w:val="Teksttreci0"/>
          <w:rFonts w:ascii="Open Sans" w:hAnsi="Open Sans" w:cs="Open Sans"/>
          <w:color w:val="auto"/>
          <w:sz w:val="20"/>
          <w:szCs w:val="20"/>
        </w:rPr>
      </w:pP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Z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amawiający zastrzega sobie możliwość dostarczenia własnym transportem, do wyznaczonej przez </w:t>
      </w:r>
      <w:r w:rsidR="00390AA9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Wykonawcę 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placówki mieszczącej się w Warszawie przy ul...................................., w</w:t>
      </w:r>
      <w:r w:rsidR="004521A3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8E25A4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w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ypadku wystąpienia ze strony </w:t>
      </w:r>
      <w:r w:rsidR="00390AA9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Zamawiającego 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konieczności dostarczenia do tej placówki przesyłki w innych </w:t>
      </w: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 godzinach niż wskazane w pkt.4 Zał.</w:t>
      </w:r>
      <w:r w:rsidR="0051188E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Nr 1 do SIWZ</w:t>
      </w:r>
      <w:r w:rsidR="004521A3" w:rsidRPr="002D5BA6">
        <w:rPr>
          <w:rStyle w:val="Teksttreci0"/>
          <w:rFonts w:ascii="Open Sans" w:hAnsi="Open Sans" w:cs="Open Sans"/>
          <w:color w:val="auto"/>
          <w:sz w:val="20"/>
          <w:szCs w:val="20"/>
        </w:rPr>
        <w:t>.</w:t>
      </w:r>
    </w:p>
    <w:p w:rsidR="004521A3" w:rsidRPr="002D5BA6" w:rsidRDefault="004521A3" w:rsidP="00501A6A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5. Zamawiający zobowiązuje się do umieszczenia na stronie adres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owej każdej nadawanej przesyłki </w:t>
      </w:r>
      <w:r w:rsidRPr="002D5BA6">
        <w:rPr>
          <w:rFonts w:ascii="Open Sans" w:hAnsi="Open Sans" w:cs="Open Sans"/>
          <w:color w:val="auto"/>
          <w:sz w:val="20"/>
          <w:szCs w:val="20"/>
        </w:rPr>
        <w:t>listowej lub paczki nazwy odbiorcy wraz z jego adresem (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podany jednocześnie w pocztowej </w:t>
      </w:r>
      <w:r w:rsidRPr="002D5BA6">
        <w:rPr>
          <w:rFonts w:ascii="Open Sans" w:hAnsi="Open Sans" w:cs="Open Sans"/>
          <w:color w:val="auto"/>
          <w:sz w:val="20"/>
          <w:szCs w:val="20"/>
        </w:rPr>
        <w:t>książce nadawczej dla przesyłek rejestrowanych), określając rodzaj przesyłki (zwykła, p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olecona,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priorytet czy ze zwrotnym poświadczeniem odbioru </w:t>
      </w:r>
      <w:r w:rsidR="002504B9" w:rsidRPr="002D5BA6">
        <w:rPr>
          <w:rFonts w:ascii="Open Sans" w:hAnsi="Open Sans" w:cs="Open Sans"/>
          <w:color w:val="auto"/>
          <w:sz w:val="20"/>
          <w:szCs w:val="20"/>
        </w:rPr>
        <w:t xml:space="preserve">- ZPO) oraz nadruku (pieczątki) </w:t>
      </w:r>
      <w:r w:rsidRPr="002D5BA6">
        <w:rPr>
          <w:rFonts w:ascii="Open Sans" w:hAnsi="Open Sans" w:cs="Open Sans"/>
          <w:color w:val="auto"/>
          <w:sz w:val="20"/>
          <w:szCs w:val="20"/>
        </w:rPr>
        <w:t xml:space="preserve">zawierającego pełną nazwę i adres </w:t>
      </w:r>
      <w:r w:rsidR="008E25A4"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  <w:r w:rsidRPr="002D5BA6">
        <w:rPr>
          <w:rFonts w:ascii="Open Sans" w:hAnsi="Open Sans" w:cs="Open Sans"/>
          <w:color w:val="auto"/>
          <w:sz w:val="20"/>
          <w:szCs w:val="20"/>
        </w:rPr>
        <w:t>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6. Zamawiający zobowiązuje się do właściwego przygotowania przesyłek oraz sporządzania</w:t>
      </w:r>
    </w:p>
    <w:p w:rsidR="003975AF" w:rsidRPr="002D5BA6" w:rsidRDefault="0044736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Wykazu nadanych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 przesyłek.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51188E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7. Zamawiający zobowiązuje się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 do nadawania przesyłek w stanie uporządkowanym, przez co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>należy rozumieć: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a) dla przesyłek rejestrowanych - wpisanie każdej przesyłki do wykazu przesyłek,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sporządzanego w dwóch egzemplarzach, z których oryginał będzie przeznaczony dla</w:t>
      </w:r>
    </w:p>
    <w:p w:rsidR="003975AF" w:rsidRPr="002D5BA6" w:rsidRDefault="00390AA9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w celach rozliczeniowych, a kopia stanowić będzie dla </w:t>
      </w:r>
      <w:r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potwierdzenie nadania danej partii przesyłek,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b) dla przesyłek zwykłych - nierejestrowanych - przygotowanie wykazu ilościowego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przesyłek wg poszczególnych kategorii wagowych sporządzanego dla celów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rozliczeniowych w dwóch egzemplarzach, z których oryginał będzie przeznaczony dla</w:t>
      </w:r>
    </w:p>
    <w:p w:rsidR="003975AF" w:rsidRPr="002D5BA6" w:rsidRDefault="008E25A4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="003975AF" w:rsidRPr="002D5BA6">
        <w:rPr>
          <w:rFonts w:ascii="Open Sans" w:hAnsi="Open Sans" w:cs="Open Sans"/>
          <w:color w:val="auto"/>
          <w:sz w:val="20"/>
          <w:szCs w:val="20"/>
        </w:rPr>
        <w:t xml:space="preserve">w celach rozliczeniowych, a kopia stanowić będzie dla </w:t>
      </w:r>
      <w:r w:rsidRPr="002D5BA6">
        <w:rPr>
          <w:rFonts w:ascii="Open Sans" w:hAnsi="Open Sans" w:cs="Open Sans"/>
          <w:color w:val="auto"/>
          <w:sz w:val="20"/>
          <w:szCs w:val="20"/>
        </w:rPr>
        <w:t>Zamawiającego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potwierdzenie nadania danej partii przesyłek.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>8. Zamawiający jest odpowiedzialny za nadawanie przesyłek listowych i paczek w stanie</w:t>
      </w: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umożliwiającym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 xml:space="preserve">Wykonawcy </w:t>
      </w:r>
      <w:r w:rsidRPr="002D5BA6">
        <w:rPr>
          <w:rFonts w:ascii="Open Sans" w:hAnsi="Open Sans" w:cs="Open Sans"/>
          <w:color w:val="auto"/>
          <w:sz w:val="20"/>
          <w:szCs w:val="20"/>
        </w:rPr>
        <w:t>doręczenie bez ubytku i uszkodzen</w:t>
      </w:r>
      <w:r w:rsidR="004D4769" w:rsidRPr="002D5BA6">
        <w:rPr>
          <w:rFonts w:ascii="Open Sans" w:hAnsi="Open Sans" w:cs="Open Sans"/>
          <w:color w:val="auto"/>
          <w:sz w:val="20"/>
          <w:szCs w:val="20"/>
        </w:rPr>
        <w:t xml:space="preserve">ia do miejsca zgodnie z adresem </w:t>
      </w:r>
      <w:r w:rsidRPr="002D5BA6">
        <w:rPr>
          <w:rFonts w:ascii="Open Sans" w:hAnsi="Open Sans" w:cs="Open Sans"/>
          <w:color w:val="auto"/>
          <w:sz w:val="20"/>
          <w:szCs w:val="20"/>
        </w:rPr>
        <w:t>przeznaczenia.</w:t>
      </w:r>
    </w:p>
    <w:p w:rsidR="00E70C2B" w:rsidRPr="002D5BA6" w:rsidRDefault="00E70C2B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975AF" w:rsidRPr="002D5BA6" w:rsidRDefault="003975AF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2D5BA6">
        <w:rPr>
          <w:rFonts w:ascii="Open Sans" w:hAnsi="Open Sans" w:cs="Open Sans"/>
          <w:color w:val="auto"/>
          <w:sz w:val="20"/>
          <w:szCs w:val="20"/>
        </w:rPr>
        <w:t xml:space="preserve">9. Wykonawca będzie doręczał do siedziby </w:t>
      </w:r>
      <w:r w:rsidR="00390AA9" w:rsidRPr="002D5BA6">
        <w:rPr>
          <w:rFonts w:ascii="Open Sans" w:hAnsi="Open Sans" w:cs="Open Sans"/>
          <w:color w:val="auto"/>
          <w:sz w:val="20"/>
          <w:szCs w:val="20"/>
        </w:rPr>
        <w:t xml:space="preserve">Zamawiającego </w:t>
      </w:r>
      <w:r w:rsidRPr="002D5BA6">
        <w:rPr>
          <w:rFonts w:ascii="Open Sans" w:hAnsi="Open Sans" w:cs="Open Sans"/>
          <w:color w:val="auto"/>
          <w:sz w:val="20"/>
          <w:szCs w:val="20"/>
        </w:rPr>
        <w:t>pokwitowanie odbioru przesyłki,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potwierdzone przez jej adresata, niezwłocznie po dokonaniu doręczenia przesyłki, nie później</w:t>
      </w:r>
      <w:r w:rsidR="0044736F" w:rsidRPr="002D5BA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2D5BA6">
        <w:rPr>
          <w:rFonts w:ascii="Open Sans" w:hAnsi="Open Sans" w:cs="Open Sans"/>
          <w:color w:val="auto"/>
          <w:sz w:val="20"/>
          <w:szCs w:val="20"/>
        </w:rPr>
        <w:t>jednak, niż w ciągu 7 dni roboczych od dnia doręczenia.</w:t>
      </w:r>
    </w:p>
    <w:p w:rsidR="00351413" w:rsidRPr="002D5BA6" w:rsidRDefault="00351413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73C85" w:rsidRPr="002D5BA6" w:rsidRDefault="00873C85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51188E" w:rsidRPr="002D5BA6" w:rsidRDefault="0051188E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E70C2B" w:rsidRPr="002D5BA6" w:rsidRDefault="00E70C2B" w:rsidP="003975AF">
      <w:pPr>
        <w:autoSpaceDE w:val="0"/>
        <w:autoSpaceDN w:val="0"/>
        <w:adjustRightInd w:val="0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771FB4" w:rsidRPr="002D5BA6" w:rsidRDefault="00771FB4" w:rsidP="00771FB4">
      <w:pPr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8421D4" w:rsidRPr="002D5BA6" w:rsidRDefault="008421D4" w:rsidP="00771FB4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2D5BA6">
        <w:rPr>
          <w:rFonts w:ascii="Open Sans" w:hAnsi="Open Sans" w:cs="Open Sans"/>
          <w:b/>
          <w:bCs/>
          <w:color w:val="auto"/>
          <w:sz w:val="20"/>
          <w:szCs w:val="20"/>
        </w:rPr>
        <w:t>Orientacyjne ilości i rodzaj przesyłek</w:t>
      </w:r>
    </w:p>
    <w:p w:rsidR="008421D4" w:rsidRPr="002D5BA6" w:rsidRDefault="008421D4" w:rsidP="008421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36FE0" w:rsidRPr="002D5BA6" w:rsidRDefault="00A36FE0" w:rsidP="008421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421D4" w:rsidRPr="002D5BA6" w:rsidRDefault="008421D4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D5BA6">
        <w:rPr>
          <w:rFonts w:ascii="Arial" w:hAnsi="Arial" w:cs="Arial"/>
          <w:b/>
          <w:bCs/>
          <w:color w:val="auto"/>
        </w:rPr>
        <w:t>FORMULARZ CENOWY</w:t>
      </w:r>
    </w:p>
    <w:p w:rsidR="00E70C2B" w:rsidRPr="002D5BA6" w:rsidRDefault="00E70C2B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19"/>
        <w:gridCol w:w="958"/>
        <w:gridCol w:w="1985"/>
        <w:gridCol w:w="1701"/>
        <w:gridCol w:w="1276"/>
        <w:gridCol w:w="1275"/>
        <w:gridCol w:w="1560"/>
      </w:tblGrid>
      <w:tr w:rsidR="002D5BA6" w:rsidRPr="002D5BA6" w:rsidTr="000E550F">
        <w:trPr>
          <w:trHeight w:val="976"/>
        </w:trPr>
        <w:tc>
          <w:tcPr>
            <w:tcW w:w="557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Lp.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Rodzaj przesyłki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Waga przesyłki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 xml:space="preserve">Przewidywana liczba  korespondencji lub usług przez cały okres umowy 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( 12 miesięcy)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Cena jednostkowa brutto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Cena brutto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2D5BA6">
              <w:rPr>
                <w:rFonts w:ascii="Open Sans" w:hAnsi="Open Sans" w:cs="Open Sans"/>
                <w:color w:val="auto"/>
                <w:sz w:val="16"/>
                <w:szCs w:val="16"/>
              </w:rPr>
              <w:t>(iloczyn 4 i 6)</w:t>
            </w:r>
          </w:p>
        </w:tc>
      </w:tr>
      <w:tr w:rsidR="002D5BA6" w:rsidRPr="002D5BA6" w:rsidTr="000E550F">
        <w:tc>
          <w:tcPr>
            <w:tcW w:w="557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7</w:t>
            </w:r>
          </w:p>
        </w:tc>
      </w:tr>
      <w:tr w:rsidR="002D5BA6" w:rsidRPr="002D5BA6" w:rsidTr="000E550F">
        <w:trPr>
          <w:trHeight w:val="336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KRAJOWA  - GABARYT A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37434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1371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Polecona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- priorytetowa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32887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 priorytetowych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KRAJOWA  - GABARYT B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Polecona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- priorytetowa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 priorytetowych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GABARYT A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Listy polecone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2000 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Listy polecone priorytetowe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2,000g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GABARYT B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Listy polecone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2000 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Listy polecone priorytetowe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2,000g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priorytetowe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KURIERSKA KRAJOWA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kurierskiej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273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ZAGRANICZNA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32.</w:t>
            </w:r>
          </w:p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7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285"/>
                <w:tab w:val="center" w:pos="41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20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8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225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5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34.</w:t>
            </w:r>
          </w:p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tabs>
                <w:tab w:val="left" w:pos="285"/>
                <w:tab w:val="center" w:pos="41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36.</w:t>
            </w:r>
          </w:p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7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 xml:space="preserve">PACZKI ZAGRANICZNE 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Europa łącznie z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PACZKI ZAGRANICZNE PRIORYTETOWE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49.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KURIERSKA ZAGRANICZNA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Ameryka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ZAGRANICZNYCH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1C7944" w:rsidRPr="002D5BA6" w:rsidRDefault="001C7944" w:rsidP="000E550F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-Ameryka Północna, Afryka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69.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-Ameryka Północna, Afryka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pocztowej priorytetowej</w:t>
            </w:r>
          </w:p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2D5BA6" w:rsidRPr="002D5BA6" w:rsidTr="000E550F">
        <w:trPr>
          <w:trHeight w:val="110"/>
        </w:trPr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POZOSTAŁE USŁUGI</w:t>
            </w:r>
          </w:p>
        </w:tc>
      </w:tr>
      <w:tr w:rsidR="002D5BA6" w:rsidRPr="002D5BA6" w:rsidTr="000E550F">
        <w:trPr>
          <w:trHeight w:val="11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72.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Usługa odbioru przesyłek z siedziby Zamawiającego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1C7944" w:rsidRPr="002D5BA6" w:rsidRDefault="001C7944" w:rsidP="000E550F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1C7944" w:rsidRPr="002D5BA6" w:rsidTr="000E550F">
        <w:trPr>
          <w:trHeight w:val="11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73.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Narzut własny operatora za usługę pośrednictwa przy nadawaniu przesyłki u operatora wyznaczonego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1C7944" w:rsidRPr="002D5BA6" w:rsidRDefault="001C7944" w:rsidP="000E55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D5BA6">
              <w:rPr>
                <w:rFonts w:ascii="Open Sans" w:hAnsi="Open Sans" w:cs="Open Sans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44" w:rsidRPr="002D5BA6" w:rsidRDefault="001C7944" w:rsidP="000E550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</w:tbl>
    <w:p w:rsidR="001C7944" w:rsidRPr="002D5BA6" w:rsidRDefault="001C7944" w:rsidP="008421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A41CB9" w:rsidRPr="002D5BA6" w:rsidRDefault="00A41CB9" w:rsidP="00A41C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41CB9" w:rsidRPr="002D5BA6" w:rsidRDefault="00A41CB9" w:rsidP="00A211D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sectPr w:rsidR="00A41CB9" w:rsidRPr="002D5BA6" w:rsidSect="00E70C2B">
      <w:footerReference w:type="default" r:id="rId8"/>
      <w:pgSz w:w="11906" w:h="16838"/>
      <w:pgMar w:top="737" w:right="1418" w:bottom="794" w:left="136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8E" w:rsidRDefault="0051188E" w:rsidP="00E231B1">
      <w:r>
        <w:separator/>
      </w:r>
    </w:p>
  </w:endnote>
  <w:endnote w:type="continuationSeparator" w:id="0">
    <w:p w:rsidR="0051188E" w:rsidRDefault="0051188E" w:rsidP="00E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88E" w:rsidRDefault="0051188E">
    <w:pPr>
      <w:pStyle w:val="Stopka"/>
      <w:jc w:val="center"/>
    </w:pPr>
  </w:p>
  <w:p w:rsidR="0051188E" w:rsidRDefault="0051188E">
    <w:pPr>
      <w:pStyle w:val="Stopka"/>
      <w:jc w:val="center"/>
    </w:pPr>
    <w:r>
      <w:fldChar w:fldCharType="begin"/>
    </w:r>
    <w:r>
      <w:instrText>PAGE    \* MERGEFORMAT</w:instrText>
    </w:r>
    <w:r>
      <w:fldChar w:fldCharType="separate"/>
    </w:r>
    <w:r w:rsidRPr="00274D28">
      <w:rPr>
        <w:noProof/>
        <w:lang w:val="pl-PL"/>
      </w:rPr>
      <w:t>15</w:t>
    </w:r>
    <w:r>
      <w:fldChar w:fldCharType="end"/>
    </w:r>
  </w:p>
  <w:p w:rsidR="0051188E" w:rsidRDefault="00511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8E" w:rsidRDefault="0051188E" w:rsidP="00E231B1">
      <w:r>
        <w:separator/>
      </w:r>
    </w:p>
  </w:footnote>
  <w:footnote w:type="continuationSeparator" w:id="0">
    <w:p w:rsidR="0051188E" w:rsidRDefault="0051188E" w:rsidP="00E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4AE9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3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AAF"/>
    <w:rsid w:val="0000154E"/>
    <w:rsid w:val="00006680"/>
    <w:rsid w:val="00025EC7"/>
    <w:rsid w:val="000518AF"/>
    <w:rsid w:val="00053B2C"/>
    <w:rsid w:val="0006232C"/>
    <w:rsid w:val="0006322E"/>
    <w:rsid w:val="000747CD"/>
    <w:rsid w:val="000B16B3"/>
    <w:rsid w:val="000B4AD2"/>
    <w:rsid w:val="000E73CB"/>
    <w:rsid w:val="00100CFE"/>
    <w:rsid w:val="00112477"/>
    <w:rsid w:val="001423B0"/>
    <w:rsid w:val="00145A50"/>
    <w:rsid w:val="00175AB5"/>
    <w:rsid w:val="001B5B27"/>
    <w:rsid w:val="001C7944"/>
    <w:rsid w:val="002026B5"/>
    <w:rsid w:val="002178AD"/>
    <w:rsid w:val="00223FDC"/>
    <w:rsid w:val="002504B9"/>
    <w:rsid w:val="0026153D"/>
    <w:rsid w:val="002621EC"/>
    <w:rsid w:val="00274D28"/>
    <w:rsid w:val="002B3501"/>
    <w:rsid w:val="002D17F3"/>
    <w:rsid w:val="002D5BA6"/>
    <w:rsid w:val="00322634"/>
    <w:rsid w:val="003367E7"/>
    <w:rsid w:val="00341EF1"/>
    <w:rsid w:val="00351413"/>
    <w:rsid w:val="00360CA1"/>
    <w:rsid w:val="00390AA9"/>
    <w:rsid w:val="003975AF"/>
    <w:rsid w:val="003A4C5A"/>
    <w:rsid w:val="003A5E3F"/>
    <w:rsid w:val="003D38AF"/>
    <w:rsid w:val="003E6990"/>
    <w:rsid w:val="003F5CD5"/>
    <w:rsid w:val="00414EFD"/>
    <w:rsid w:val="00435E2E"/>
    <w:rsid w:val="004405AE"/>
    <w:rsid w:val="0044736F"/>
    <w:rsid w:val="004521A3"/>
    <w:rsid w:val="00464979"/>
    <w:rsid w:val="00473DC9"/>
    <w:rsid w:val="00480090"/>
    <w:rsid w:val="00483F12"/>
    <w:rsid w:val="004934B6"/>
    <w:rsid w:val="004B3F9A"/>
    <w:rsid w:val="004C09E8"/>
    <w:rsid w:val="004C261D"/>
    <w:rsid w:val="004D3540"/>
    <w:rsid w:val="004D4769"/>
    <w:rsid w:val="004E194D"/>
    <w:rsid w:val="004E5A06"/>
    <w:rsid w:val="00501A6A"/>
    <w:rsid w:val="0051188E"/>
    <w:rsid w:val="005446D1"/>
    <w:rsid w:val="00545AAF"/>
    <w:rsid w:val="00555E08"/>
    <w:rsid w:val="00580144"/>
    <w:rsid w:val="005B524C"/>
    <w:rsid w:val="005D6213"/>
    <w:rsid w:val="005F254A"/>
    <w:rsid w:val="00624419"/>
    <w:rsid w:val="00662FC8"/>
    <w:rsid w:val="006955D5"/>
    <w:rsid w:val="006B7F62"/>
    <w:rsid w:val="006E004F"/>
    <w:rsid w:val="00705AEC"/>
    <w:rsid w:val="0070604D"/>
    <w:rsid w:val="007522C4"/>
    <w:rsid w:val="007638F9"/>
    <w:rsid w:val="00771FB4"/>
    <w:rsid w:val="0079710D"/>
    <w:rsid w:val="007E0AA6"/>
    <w:rsid w:val="007E49E4"/>
    <w:rsid w:val="007E680A"/>
    <w:rsid w:val="008139FC"/>
    <w:rsid w:val="008414DA"/>
    <w:rsid w:val="008421D4"/>
    <w:rsid w:val="00843C20"/>
    <w:rsid w:val="00873C85"/>
    <w:rsid w:val="00880B00"/>
    <w:rsid w:val="00892AF0"/>
    <w:rsid w:val="008A1B9E"/>
    <w:rsid w:val="008A7857"/>
    <w:rsid w:val="008B4704"/>
    <w:rsid w:val="008C1DB1"/>
    <w:rsid w:val="008D57FF"/>
    <w:rsid w:val="008E25A4"/>
    <w:rsid w:val="00907E59"/>
    <w:rsid w:val="00915177"/>
    <w:rsid w:val="00916D34"/>
    <w:rsid w:val="00950F2B"/>
    <w:rsid w:val="00957977"/>
    <w:rsid w:val="00983005"/>
    <w:rsid w:val="00986F79"/>
    <w:rsid w:val="009914C6"/>
    <w:rsid w:val="009C5917"/>
    <w:rsid w:val="009D2CF5"/>
    <w:rsid w:val="00A13A27"/>
    <w:rsid w:val="00A211D5"/>
    <w:rsid w:val="00A2308D"/>
    <w:rsid w:val="00A27410"/>
    <w:rsid w:val="00A274F2"/>
    <w:rsid w:val="00A32F9A"/>
    <w:rsid w:val="00A36FE0"/>
    <w:rsid w:val="00A41CB9"/>
    <w:rsid w:val="00A92A52"/>
    <w:rsid w:val="00AF021E"/>
    <w:rsid w:val="00B00D5C"/>
    <w:rsid w:val="00B200A8"/>
    <w:rsid w:val="00B42E83"/>
    <w:rsid w:val="00B53DF0"/>
    <w:rsid w:val="00B623FC"/>
    <w:rsid w:val="00B73B41"/>
    <w:rsid w:val="00B85B0E"/>
    <w:rsid w:val="00BF1081"/>
    <w:rsid w:val="00C15131"/>
    <w:rsid w:val="00C454EC"/>
    <w:rsid w:val="00C73C2F"/>
    <w:rsid w:val="00C90AC2"/>
    <w:rsid w:val="00CB7BC7"/>
    <w:rsid w:val="00CD2727"/>
    <w:rsid w:val="00CD4098"/>
    <w:rsid w:val="00CD6BE5"/>
    <w:rsid w:val="00CE3902"/>
    <w:rsid w:val="00CE53A6"/>
    <w:rsid w:val="00D01033"/>
    <w:rsid w:val="00D02F15"/>
    <w:rsid w:val="00D112FD"/>
    <w:rsid w:val="00D15AE2"/>
    <w:rsid w:val="00D162BC"/>
    <w:rsid w:val="00D32FF4"/>
    <w:rsid w:val="00D46648"/>
    <w:rsid w:val="00D50AFD"/>
    <w:rsid w:val="00D66728"/>
    <w:rsid w:val="00DA2024"/>
    <w:rsid w:val="00DB3D0D"/>
    <w:rsid w:val="00DE080A"/>
    <w:rsid w:val="00E0394B"/>
    <w:rsid w:val="00E20D32"/>
    <w:rsid w:val="00E231B1"/>
    <w:rsid w:val="00E27C4A"/>
    <w:rsid w:val="00E448F1"/>
    <w:rsid w:val="00E70C2B"/>
    <w:rsid w:val="00E773F8"/>
    <w:rsid w:val="00E77D8A"/>
    <w:rsid w:val="00E805E5"/>
    <w:rsid w:val="00E80CDA"/>
    <w:rsid w:val="00E873D7"/>
    <w:rsid w:val="00E937BC"/>
    <w:rsid w:val="00E96A19"/>
    <w:rsid w:val="00EA22E6"/>
    <w:rsid w:val="00EE260A"/>
    <w:rsid w:val="00F04216"/>
    <w:rsid w:val="00F46E2D"/>
    <w:rsid w:val="00F61017"/>
    <w:rsid w:val="00F622C7"/>
    <w:rsid w:val="00F71870"/>
    <w:rsid w:val="00F86382"/>
    <w:rsid w:val="00F952DE"/>
    <w:rsid w:val="00FE1D67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200A98B-99D1-466C-9DC4-23F974E4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AAF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771FB4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5AAF"/>
    <w:rPr>
      <w:color w:val="0066CC"/>
      <w:u w:val="single"/>
    </w:rPr>
  </w:style>
  <w:style w:type="character" w:customStyle="1" w:styleId="Nagwek3">
    <w:name w:val="Nagłówek #3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545AAF"/>
  </w:style>
  <w:style w:type="character" w:customStyle="1" w:styleId="Nagwek10">
    <w:name w:val="Nagłówek #1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545AAF"/>
  </w:style>
  <w:style w:type="character" w:customStyle="1" w:styleId="Nagwek4">
    <w:name w:val="Nagłówek #4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545AAF"/>
  </w:style>
  <w:style w:type="character" w:customStyle="1" w:styleId="Nagwek42">
    <w:name w:val="Nagłówek #4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80CDA"/>
  </w:style>
  <w:style w:type="character" w:customStyle="1" w:styleId="TeksttreciPogrubienie">
    <w:name w:val="Tekst treści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80CDA"/>
  </w:style>
  <w:style w:type="character" w:customStyle="1" w:styleId="Teksttreci20">
    <w:name w:val="Tekst treści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80CDA"/>
  </w:style>
  <w:style w:type="paragraph" w:styleId="Tekstpodstawowy">
    <w:name w:val="Body Text"/>
    <w:basedOn w:val="Normalny"/>
    <w:link w:val="TekstpodstawowyZnak"/>
    <w:unhideWhenUsed/>
    <w:rsid w:val="00E80CDA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80CDA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E80CD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  <w:lang w:val="pl-PL"/>
    </w:rPr>
  </w:style>
  <w:style w:type="character" w:customStyle="1" w:styleId="FontStyle33">
    <w:name w:val="Font Style33"/>
    <w:uiPriority w:val="99"/>
    <w:rsid w:val="00E80CDA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Stopka">
    <w:name w:val="footer"/>
    <w:basedOn w:val="Normalny"/>
    <w:link w:val="Stopka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AD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178AD"/>
    <w:rPr>
      <w:rFonts w:ascii="Tahoma" w:eastAsia="Arial Unicode MS" w:hAnsi="Tahoma" w:cs="Tahoma"/>
      <w:color w:val="000000"/>
      <w:sz w:val="16"/>
      <w:szCs w:val="16"/>
      <w:lang w:val="pl"/>
    </w:rPr>
  </w:style>
  <w:style w:type="character" w:customStyle="1" w:styleId="Nagwek1Znak">
    <w:name w:val="Nagłówek 1 Znak"/>
    <w:basedOn w:val="Domylnaczcionkaakapitu"/>
    <w:link w:val="Nagwek1"/>
    <w:rsid w:val="00771FB4"/>
    <w:rPr>
      <w:rFonts w:ascii="Times New Roman" w:eastAsia="Times New Roman" w:hAnsi="Times New Roman"/>
      <w:b/>
      <w:snapToGrid w:val="0"/>
      <w:sz w:val="3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1FB4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1FB4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BC077-D05B-4D81-87F9-51D45E5D5955}"/>
</file>

<file path=customXml/itemProps2.xml><?xml version="1.0" encoding="utf-8"?>
<ds:datastoreItem xmlns:ds="http://schemas.openxmlformats.org/officeDocument/2006/customXml" ds:itemID="{D10DE8A3-72F2-4188-B62F-D055880C71A2}"/>
</file>

<file path=customXml/itemProps3.xml><?xml version="1.0" encoding="utf-8"?>
<ds:datastoreItem xmlns:ds="http://schemas.openxmlformats.org/officeDocument/2006/customXml" ds:itemID="{5B5CB427-E7AE-4A18-8B59-9AACD0CBB2E2}"/>
</file>

<file path=customXml/itemProps4.xml><?xml version="1.0" encoding="utf-8"?>
<ds:datastoreItem xmlns:ds="http://schemas.openxmlformats.org/officeDocument/2006/customXml" ds:itemID="{4759578C-7DEE-48ED-BC13-9495D1A42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3031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października 2014r</vt:lpstr>
    </vt:vector>
  </TitlesOfParts>
  <Company>Sąd Najwyższy</Company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października 2014r</dc:title>
  <dc:subject/>
  <dc:creator>Violetta Wojtaszek</dc:creator>
  <cp:keywords/>
  <cp:lastModifiedBy>Winiarska Anna</cp:lastModifiedBy>
  <cp:revision>12</cp:revision>
  <cp:lastPrinted>2018-10-05T06:47:00Z</cp:lastPrinted>
  <dcterms:created xsi:type="dcterms:W3CDTF">2018-09-25T10:04:00Z</dcterms:created>
  <dcterms:modified xsi:type="dcterms:W3CDTF">2018-10-05T06:51:00Z</dcterms:modified>
</cp:coreProperties>
</file>